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65C2E" w14:textId="77777777" w:rsidR="00F75A3A" w:rsidRDefault="00F75A3A" w:rsidP="00F27CD9">
      <w:pPr>
        <w:spacing w:after="0" w:line="240" w:lineRule="auto"/>
        <w:rPr>
          <w:rFonts w:cstheme="minorHAnsi"/>
          <w:b/>
          <w:u w:val="single"/>
        </w:rPr>
      </w:pPr>
      <w:r>
        <w:rPr>
          <w:rFonts w:cstheme="minorHAnsi"/>
          <w:b/>
          <w:noProof/>
          <w:u w:val="single"/>
        </w:rPr>
        <w:drawing>
          <wp:inline distT="0" distB="0" distL="0" distR="0" wp14:anchorId="3FE1C713" wp14:editId="5407042E">
            <wp:extent cx="1777065" cy="619125"/>
            <wp:effectExtent l="0" t="0" r="0" b="0"/>
            <wp:docPr id="1" name="Picture 1"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83811" cy="621475"/>
                    </a:xfrm>
                    <a:prstGeom prst="rect">
                      <a:avLst/>
                    </a:prstGeom>
                  </pic:spPr>
                </pic:pic>
              </a:graphicData>
            </a:graphic>
          </wp:inline>
        </w:drawing>
      </w:r>
    </w:p>
    <w:p w14:paraId="35F0FBE1" w14:textId="77777777" w:rsidR="00F75A3A" w:rsidRDefault="00F75A3A" w:rsidP="00F27CD9">
      <w:pPr>
        <w:spacing w:after="0" w:line="240" w:lineRule="auto"/>
        <w:rPr>
          <w:rFonts w:cstheme="minorHAnsi"/>
          <w:b/>
          <w:u w:val="single"/>
        </w:rPr>
      </w:pPr>
    </w:p>
    <w:p w14:paraId="7FE8A3E9" w14:textId="6CDFA3E3" w:rsidR="00F27CD9" w:rsidRDefault="00664193" w:rsidP="00F75A3A">
      <w:pPr>
        <w:spacing w:after="0" w:line="240" w:lineRule="auto"/>
        <w:jc w:val="center"/>
        <w:rPr>
          <w:rFonts w:cstheme="minorHAnsi"/>
          <w:b/>
          <w:u w:val="single"/>
        </w:rPr>
      </w:pPr>
      <w:r>
        <w:rPr>
          <w:rFonts w:cstheme="minorHAnsi"/>
          <w:b/>
          <w:u w:val="single"/>
        </w:rPr>
        <w:t>DATA</w:t>
      </w:r>
      <w:r w:rsidRPr="00CE79F2">
        <w:rPr>
          <w:rFonts w:cstheme="minorHAnsi"/>
          <w:b/>
          <w:u w:val="single"/>
        </w:rPr>
        <w:t xml:space="preserve"> </w:t>
      </w:r>
      <w:r w:rsidR="00DC0BB8">
        <w:rPr>
          <w:rFonts w:cstheme="minorHAnsi"/>
          <w:b/>
          <w:u w:val="single"/>
        </w:rPr>
        <w:t xml:space="preserve">MANAGEMENT AND </w:t>
      </w:r>
      <w:r w:rsidR="00F27CD9" w:rsidRPr="00CE79F2">
        <w:rPr>
          <w:rFonts w:cstheme="minorHAnsi"/>
          <w:b/>
          <w:u w:val="single"/>
        </w:rPr>
        <w:t>SHARING PLA</w:t>
      </w:r>
      <w:r w:rsidR="00F75A3A">
        <w:rPr>
          <w:rFonts w:cstheme="minorHAnsi"/>
          <w:b/>
          <w:u w:val="single"/>
        </w:rPr>
        <w:t>N STANDARD TEXT</w:t>
      </w:r>
    </w:p>
    <w:p w14:paraId="35BF2974" w14:textId="01A62195" w:rsidR="00F75A3A" w:rsidRDefault="00F75A3A" w:rsidP="00F27CD9">
      <w:pPr>
        <w:spacing w:after="0" w:line="240" w:lineRule="auto"/>
        <w:rPr>
          <w:rFonts w:cstheme="minorHAnsi"/>
          <w:b/>
          <w:u w:val="single"/>
        </w:rPr>
      </w:pPr>
    </w:p>
    <w:p w14:paraId="583C1448" w14:textId="77777777" w:rsidR="00F75A3A" w:rsidRDefault="00F75A3A" w:rsidP="00F27CD9">
      <w:pPr>
        <w:spacing w:after="0" w:line="240" w:lineRule="auto"/>
        <w:rPr>
          <w:rFonts w:cstheme="minorHAnsi"/>
          <w:b/>
        </w:rPr>
      </w:pPr>
      <w:r>
        <w:rPr>
          <w:rFonts w:cstheme="minorHAnsi"/>
          <w:b/>
        </w:rPr>
        <w:t>NIH DMS Template: Element 5 A</w:t>
      </w:r>
    </w:p>
    <w:p w14:paraId="4D88E20D" w14:textId="77777777" w:rsidR="0030131B" w:rsidRDefault="0030131B" w:rsidP="00F27CD9">
      <w:pPr>
        <w:spacing w:after="0" w:line="240" w:lineRule="auto"/>
        <w:rPr>
          <w:rFonts w:cstheme="minorHAnsi"/>
          <w:b/>
        </w:rPr>
      </w:pPr>
    </w:p>
    <w:p w14:paraId="5D630DD2" w14:textId="67A55A5F" w:rsidR="00F75A3A" w:rsidRPr="00F75A3A" w:rsidRDefault="00F75A3A" w:rsidP="00FB6ECC">
      <w:pPr>
        <w:shd w:val="clear" w:color="auto" w:fill="D9D9D9" w:themeFill="background1" w:themeFillShade="D9"/>
        <w:spacing w:after="0" w:line="240" w:lineRule="auto"/>
        <w:rPr>
          <w:rFonts w:cstheme="minorHAnsi"/>
          <w:b/>
        </w:rPr>
      </w:pPr>
      <w:r w:rsidRPr="00F75A3A">
        <w:rPr>
          <w:rFonts w:cstheme="minorHAnsi"/>
          <w:b/>
        </w:rPr>
        <w:t xml:space="preserve">NIH samples of justification </w:t>
      </w:r>
      <w:r>
        <w:rPr>
          <w:rFonts w:cstheme="minorHAnsi"/>
          <w:b/>
        </w:rPr>
        <w:t xml:space="preserve">and </w:t>
      </w:r>
      <w:r w:rsidRPr="00F75A3A">
        <w:rPr>
          <w:rFonts w:cstheme="minorHAnsi"/>
          <w:b/>
        </w:rPr>
        <w:t>text for NOT sharing data:</w:t>
      </w:r>
    </w:p>
    <w:p w14:paraId="20D032AB" w14:textId="6F2F75AE" w:rsidR="00F75A3A" w:rsidRDefault="00F75A3A" w:rsidP="00F27CD9">
      <w:pPr>
        <w:spacing w:after="0" w:line="240" w:lineRule="auto"/>
        <w:rPr>
          <w:rFonts w:cstheme="minorHAnsi"/>
          <w:bCs/>
        </w:rPr>
      </w:pPr>
    </w:p>
    <w:p w14:paraId="1270A5E4" w14:textId="77777777" w:rsidR="0030131B" w:rsidRDefault="00F75A3A" w:rsidP="00F75A3A">
      <w:pPr>
        <w:shd w:val="clear" w:color="auto" w:fill="FFFFFF"/>
        <w:spacing w:after="300" w:line="240" w:lineRule="auto"/>
        <w:rPr>
          <w:rFonts w:asciiTheme="majorHAnsi" w:eastAsia="Times New Roman" w:hAnsiTheme="majorHAnsi" w:cstheme="majorHAnsi"/>
          <w:color w:val="191919"/>
          <w:sz w:val="24"/>
          <w:szCs w:val="24"/>
        </w:rPr>
      </w:pPr>
      <w:r w:rsidRPr="00F75A3A">
        <w:rPr>
          <w:rFonts w:asciiTheme="majorHAnsi" w:eastAsia="Times New Roman" w:hAnsiTheme="majorHAnsi" w:cstheme="majorHAnsi"/>
          <w:i/>
          <w:iCs/>
          <w:color w:val="191919"/>
          <w:sz w:val="24"/>
          <w:szCs w:val="24"/>
        </w:rPr>
        <w:t>NIH expects that in drafting their Plans, researchers will attempt to maximize scientific data sharing, but may acknowledge that certain factors (i.e., ethical, legal, or technical) may necessitate limiting sharing to some extent. Foreseeable limitations should be described when drafting DMS Plans. Per the supplemental information “</w:t>
      </w:r>
      <w:hyperlink r:id="rId10" w:tgtFrame="_blank" w:history="1">
        <w:r w:rsidRPr="00F75A3A">
          <w:rPr>
            <w:rFonts w:asciiTheme="majorHAnsi" w:eastAsia="Times New Roman" w:hAnsiTheme="majorHAnsi" w:cstheme="majorHAnsi"/>
            <w:i/>
            <w:iCs/>
            <w:color w:val="0053CC"/>
            <w:sz w:val="24"/>
            <w:szCs w:val="24"/>
            <w:u w:val="single"/>
          </w:rPr>
          <w:t>Elements of an NIH Data Management Sharing Plan</w:t>
        </w:r>
      </w:hyperlink>
      <w:r w:rsidRPr="00F75A3A">
        <w:rPr>
          <w:rFonts w:asciiTheme="majorHAnsi" w:eastAsia="Times New Roman" w:hAnsiTheme="majorHAnsi" w:cstheme="majorHAnsi"/>
          <w:i/>
          <w:iCs/>
          <w:color w:val="191919"/>
          <w:sz w:val="24"/>
          <w:szCs w:val="24"/>
        </w:rPr>
        <w:t>,” a compelling rationale for limiting scientific data sharing should be provided and will be assessed by NIH.</w:t>
      </w:r>
      <w:r w:rsidRPr="00F75A3A">
        <w:rPr>
          <w:rFonts w:asciiTheme="majorHAnsi" w:eastAsia="Times New Roman" w:hAnsiTheme="majorHAnsi" w:cstheme="majorHAnsi"/>
          <w:color w:val="191919"/>
          <w:sz w:val="24"/>
          <w:szCs w:val="24"/>
        </w:rPr>
        <w:t xml:space="preserve"> </w:t>
      </w:r>
    </w:p>
    <w:p w14:paraId="560F8FE7" w14:textId="144ABE3B" w:rsidR="00F75A3A" w:rsidRPr="00F75A3A" w:rsidRDefault="00F75A3A" w:rsidP="00F75A3A">
      <w:pPr>
        <w:shd w:val="clear" w:color="auto" w:fill="FFFFFF"/>
        <w:spacing w:after="300" w:line="240" w:lineRule="auto"/>
        <w:rPr>
          <w:rFonts w:asciiTheme="majorHAnsi" w:eastAsia="Times New Roman" w:hAnsiTheme="majorHAnsi" w:cstheme="majorHAnsi"/>
          <w:color w:val="191919"/>
          <w:sz w:val="24"/>
          <w:szCs w:val="24"/>
        </w:rPr>
      </w:pPr>
      <w:r w:rsidRPr="00F75A3A">
        <w:rPr>
          <w:rFonts w:asciiTheme="majorHAnsi" w:eastAsia="Times New Roman" w:hAnsiTheme="majorHAnsi" w:cstheme="majorHAnsi"/>
          <w:color w:val="191919"/>
          <w:sz w:val="24"/>
          <w:szCs w:val="24"/>
        </w:rPr>
        <w:t>Potential examples of justifiable factors include:</w:t>
      </w:r>
    </w:p>
    <w:p w14:paraId="2E1074E0" w14:textId="77777777" w:rsidR="00F75A3A" w:rsidRPr="00F75A3A" w:rsidRDefault="00F75A3A" w:rsidP="00F75A3A">
      <w:pPr>
        <w:numPr>
          <w:ilvl w:val="0"/>
          <w:numId w:val="4"/>
        </w:numPr>
        <w:shd w:val="clear" w:color="auto" w:fill="FFFFFF"/>
        <w:spacing w:before="100" w:beforeAutospacing="1" w:after="100" w:afterAutospacing="1" w:line="240" w:lineRule="auto"/>
        <w:rPr>
          <w:rFonts w:asciiTheme="majorHAnsi" w:eastAsia="Times New Roman" w:hAnsiTheme="majorHAnsi" w:cstheme="majorHAnsi"/>
          <w:color w:val="191919"/>
          <w:sz w:val="24"/>
          <w:szCs w:val="24"/>
        </w:rPr>
      </w:pPr>
      <w:r w:rsidRPr="00F75A3A">
        <w:rPr>
          <w:rFonts w:asciiTheme="majorHAnsi" w:eastAsia="Times New Roman" w:hAnsiTheme="majorHAnsi" w:cstheme="majorHAnsi"/>
          <w:color w:val="191919"/>
          <w:sz w:val="24"/>
          <w:szCs w:val="24"/>
        </w:rPr>
        <w:t>informed consent will not permit or will limit the scope or extent of sharing and future research use</w:t>
      </w:r>
    </w:p>
    <w:p w14:paraId="486074B0" w14:textId="77777777" w:rsidR="00F75A3A" w:rsidRPr="00F75A3A" w:rsidRDefault="00F75A3A" w:rsidP="00F75A3A">
      <w:pPr>
        <w:numPr>
          <w:ilvl w:val="0"/>
          <w:numId w:val="4"/>
        </w:numPr>
        <w:shd w:val="clear" w:color="auto" w:fill="FFFFFF"/>
        <w:spacing w:before="100" w:beforeAutospacing="1" w:after="100" w:afterAutospacing="1" w:line="240" w:lineRule="auto"/>
        <w:rPr>
          <w:rFonts w:asciiTheme="majorHAnsi" w:eastAsia="Times New Roman" w:hAnsiTheme="majorHAnsi" w:cstheme="majorHAnsi"/>
          <w:color w:val="191919"/>
          <w:sz w:val="24"/>
          <w:szCs w:val="24"/>
        </w:rPr>
      </w:pPr>
      <w:r w:rsidRPr="00F75A3A">
        <w:rPr>
          <w:rFonts w:asciiTheme="majorHAnsi" w:eastAsia="Times New Roman" w:hAnsiTheme="majorHAnsi" w:cstheme="majorHAnsi"/>
          <w:color w:val="191919"/>
          <w:sz w:val="24"/>
          <w:szCs w:val="24"/>
        </w:rPr>
        <w:t>existing consent (e.g., for previously collected biospecimens) prohibits sharing or limits the scope or extent of sharing and future research use</w:t>
      </w:r>
    </w:p>
    <w:p w14:paraId="3769706F" w14:textId="77777777" w:rsidR="00F75A3A" w:rsidRPr="00F75A3A" w:rsidRDefault="00F75A3A" w:rsidP="00F75A3A">
      <w:pPr>
        <w:numPr>
          <w:ilvl w:val="0"/>
          <w:numId w:val="4"/>
        </w:numPr>
        <w:shd w:val="clear" w:color="auto" w:fill="FFFFFF"/>
        <w:spacing w:before="100" w:beforeAutospacing="1" w:after="100" w:afterAutospacing="1" w:line="240" w:lineRule="auto"/>
        <w:rPr>
          <w:rFonts w:asciiTheme="majorHAnsi" w:eastAsia="Times New Roman" w:hAnsiTheme="majorHAnsi" w:cstheme="majorHAnsi"/>
          <w:color w:val="191919"/>
          <w:sz w:val="24"/>
          <w:szCs w:val="24"/>
        </w:rPr>
      </w:pPr>
      <w:r w:rsidRPr="00F75A3A">
        <w:rPr>
          <w:rFonts w:asciiTheme="majorHAnsi" w:eastAsia="Times New Roman" w:hAnsiTheme="majorHAnsi" w:cstheme="majorHAnsi"/>
          <w:color w:val="191919"/>
          <w:sz w:val="24"/>
          <w:szCs w:val="24"/>
        </w:rPr>
        <w:t>privacy or safety of research participants would be compromised or place them at greater risk of re-identification or suffering harm, and protective measures such as de-identification and </w:t>
      </w:r>
      <w:hyperlink r:id="rId11" w:tgtFrame="_blank" w:history="1">
        <w:r w:rsidRPr="00F75A3A">
          <w:rPr>
            <w:rFonts w:asciiTheme="majorHAnsi" w:eastAsia="Times New Roman" w:hAnsiTheme="majorHAnsi" w:cstheme="majorHAnsi"/>
            <w:color w:val="0053CC"/>
            <w:sz w:val="24"/>
            <w:szCs w:val="24"/>
            <w:u w:val="single"/>
          </w:rPr>
          <w:t>Certificates of Confidentiality</w:t>
        </w:r>
      </w:hyperlink>
      <w:r w:rsidRPr="00F75A3A">
        <w:rPr>
          <w:rFonts w:asciiTheme="majorHAnsi" w:eastAsia="Times New Roman" w:hAnsiTheme="majorHAnsi" w:cstheme="majorHAnsi"/>
          <w:color w:val="191919"/>
          <w:sz w:val="24"/>
          <w:szCs w:val="24"/>
        </w:rPr>
        <w:t> would be insufficient</w:t>
      </w:r>
    </w:p>
    <w:p w14:paraId="630B2CC3" w14:textId="77777777" w:rsidR="00F75A3A" w:rsidRPr="00F75A3A" w:rsidRDefault="00F75A3A" w:rsidP="00F75A3A">
      <w:pPr>
        <w:numPr>
          <w:ilvl w:val="0"/>
          <w:numId w:val="4"/>
        </w:numPr>
        <w:shd w:val="clear" w:color="auto" w:fill="FFFFFF"/>
        <w:spacing w:before="100" w:beforeAutospacing="1" w:after="100" w:afterAutospacing="1" w:line="240" w:lineRule="auto"/>
        <w:rPr>
          <w:rFonts w:asciiTheme="majorHAnsi" w:eastAsia="Times New Roman" w:hAnsiTheme="majorHAnsi" w:cstheme="majorHAnsi"/>
          <w:color w:val="191919"/>
          <w:sz w:val="24"/>
          <w:szCs w:val="24"/>
        </w:rPr>
      </w:pPr>
      <w:r w:rsidRPr="00F75A3A">
        <w:rPr>
          <w:rFonts w:asciiTheme="majorHAnsi" w:eastAsia="Times New Roman" w:hAnsiTheme="majorHAnsi" w:cstheme="majorHAnsi"/>
          <w:color w:val="191919"/>
          <w:sz w:val="24"/>
          <w:szCs w:val="24"/>
        </w:rPr>
        <w:t>explicit federal, state, local, or Tribal law, regulation, or policy prohibits disclosure</w:t>
      </w:r>
    </w:p>
    <w:p w14:paraId="3EC117E5" w14:textId="77777777" w:rsidR="00F75A3A" w:rsidRPr="00F75A3A" w:rsidRDefault="00F75A3A" w:rsidP="00F75A3A">
      <w:pPr>
        <w:numPr>
          <w:ilvl w:val="0"/>
          <w:numId w:val="4"/>
        </w:numPr>
        <w:shd w:val="clear" w:color="auto" w:fill="FFFFFF"/>
        <w:spacing w:before="100" w:beforeAutospacing="1" w:after="100" w:afterAutospacing="1" w:line="240" w:lineRule="auto"/>
        <w:rPr>
          <w:rFonts w:asciiTheme="majorHAnsi" w:eastAsia="Times New Roman" w:hAnsiTheme="majorHAnsi" w:cstheme="majorHAnsi"/>
          <w:color w:val="191919"/>
          <w:sz w:val="24"/>
          <w:szCs w:val="24"/>
        </w:rPr>
      </w:pPr>
      <w:r w:rsidRPr="00F75A3A">
        <w:rPr>
          <w:rFonts w:asciiTheme="majorHAnsi" w:eastAsia="Times New Roman" w:hAnsiTheme="majorHAnsi" w:cstheme="majorHAnsi"/>
          <w:color w:val="191919"/>
          <w:sz w:val="24"/>
          <w:szCs w:val="24"/>
        </w:rPr>
        <w:t>datasets cannot practically be digitized with reasonable efforts</w:t>
      </w:r>
    </w:p>
    <w:p w14:paraId="10BE8AFB" w14:textId="77777777" w:rsidR="00F75A3A" w:rsidRPr="00F75A3A" w:rsidRDefault="00F75A3A" w:rsidP="00F75A3A">
      <w:pPr>
        <w:shd w:val="clear" w:color="auto" w:fill="FFFFFF"/>
        <w:spacing w:after="300" w:line="240" w:lineRule="auto"/>
        <w:rPr>
          <w:rFonts w:asciiTheme="majorHAnsi" w:eastAsia="Times New Roman" w:hAnsiTheme="majorHAnsi" w:cstheme="majorHAnsi"/>
          <w:i/>
          <w:iCs/>
          <w:color w:val="191919"/>
          <w:sz w:val="24"/>
          <w:szCs w:val="24"/>
        </w:rPr>
      </w:pPr>
      <w:r w:rsidRPr="00F75A3A">
        <w:rPr>
          <w:rFonts w:asciiTheme="majorHAnsi" w:eastAsia="Times New Roman" w:hAnsiTheme="majorHAnsi" w:cstheme="majorHAnsi"/>
          <w:i/>
          <w:iCs/>
          <w:color w:val="191919"/>
          <w:sz w:val="24"/>
          <w:szCs w:val="24"/>
        </w:rPr>
        <w:t xml:space="preserve">Examples of reasons that would generally </w:t>
      </w:r>
      <w:r w:rsidRPr="00F75A3A">
        <w:rPr>
          <w:rFonts w:asciiTheme="majorHAnsi" w:eastAsia="Times New Roman" w:hAnsiTheme="majorHAnsi" w:cstheme="majorHAnsi"/>
          <w:b/>
          <w:bCs/>
          <w:i/>
          <w:iCs/>
          <w:color w:val="191919"/>
          <w:sz w:val="24"/>
          <w:szCs w:val="24"/>
          <w:u w:val="single"/>
        </w:rPr>
        <w:t>not be justifiable</w:t>
      </w:r>
      <w:r w:rsidRPr="00F75A3A">
        <w:rPr>
          <w:rFonts w:asciiTheme="majorHAnsi" w:eastAsia="Times New Roman" w:hAnsiTheme="majorHAnsi" w:cstheme="majorHAnsi"/>
          <w:i/>
          <w:iCs/>
          <w:color w:val="191919"/>
          <w:sz w:val="24"/>
          <w:szCs w:val="24"/>
        </w:rPr>
        <w:t xml:space="preserve"> factors limiting scientific data sharing include:</w:t>
      </w:r>
    </w:p>
    <w:p w14:paraId="78E66A0A" w14:textId="77777777" w:rsidR="00F75A3A" w:rsidRPr="00F75A3A" w:rsidRDefault="00F75A3A" w:rsidP="00F75A3A">
      <w:pPr>
        <w:numPr>
          <w:ilvl w:val="0"/>
          <w:numId w:val="5"/>
        </w:numPr>
        <w:shd w:val="clear" w:color="auto" w:fill="FFFFFF"/>
        <w:spacing w:before="100" w:beforeAutospacing="1" w:after="100" w:afterAutospacing="1" w:line="240" w:lineRule="auto"/>
        <w:rPr>
          <w:rFonts w:asciiTheme="majorHAnsi" w:eastAsia="Times New Roman" w:hAnsiTheme="majorHAnsi" w:cstheme="majorHAnsi"/>
          <w:i/>
          <w:iCs/>
          <w:color w:val="191919"/>
          <w:sz w:val="24"/>
          <w:szCs w:val="24"/>
        </w:rPr>
      </w:pPr>
      <w:r w:rsidRPr="00F75A3A">
        <w:rPr>
          <w:rFonts w:asciiTheme="majorHAnsi" w:eastAsia="Times New Roman" w:hAnsiTheme="majorHAnsi" w:cstheme="majorHAnsi"/>
          <w:i/>
          <w:iCs/>
          <w:color w:val="191919"/>
          <w:sz w:val="24"/>
          <w:szCs w:val="24"/>
        </w:rPr>
        <w:t>data are considered to be too small</w:t>
      </w:r>
    </w:p>
    <w:p w14:paraId="3A7EFDF1" w14:textId="77777777" w:rsidR="00F75A3A" w:rsidRPr="00F75A3A" w:rsidRDefault="00F75A3A" w:rsidP="00F75A3A">
      <w:pPr>
        <w:numPr>
          <w:ilvl w:val="0"/>
          <w:numId w:val="5"/>
        </w:numPr>
        <w:shd w:val="clear" w:color="auto" w:fill="FFFFFF"/>
        <w:spacing w:before="100" w:beforeAutospacing="1" w:after="100" w:afterAutospacing="1" w:line="240" w:lineRule="auto"/>
        <w:rPr>
          <w:rFonts w:asciiTheme="majorHAnsi" w:eastAsia="Times New Roman" w:hAnsiTheme="majorHAnsi" w:cstheme="majorHAnsi"/>
          <w:i/>
          <w:iCs/>
          <w:color w:val="191919"/>
          <w:sz w:val="24"/>
          <w:szCs w:val="24"/>
        </w:rPr>
      </w:pPr>
      <w:r w:rsidRPr="00F75A3A">
        <w:rPr>
          <w:rFonts w:asciiTheme="majorHAnsi" w:eastAsia="Times New Roman" w:hAnsiTheme="majorHAnsi" w:cstheme="majorHAnsi"/>
          <w:i/>
          <w:iCs/>
          <w:color w:val="191919"/>
          <w:sz w:val="24"/>
          <w:szCs w:val="24"/>
        </w:rPr>
        <w:t>data that researchers anticipate will not be widely used</w:t>
      </w:r>
    </w:p>
    <w:p w14:paraId="34E0C737" w14:textId="77777777" w:rsidR="00F75A3A" w:rsidRPr="00F75A3A" w:rsidRDefault="00F75A3A" w:rsidP="00F75A3A">
      <w:pPr>
        <w:numPr>
          <w:ilvl w:val="0"/>
          <w:numId w:val="5"/>
        </w:numPr>
        <w:shd w:val="clear" w:color="auto" w:fill="FFFFFF"/>
        <w:spacing w:before="100" w:beforeAutospacing="1" w:after="100" w:afterAutospacing="1" w:line="240" w:lineRule="auto"/>
        <w:rPr>
          <w:rFonts w:asciiTheme="majorHAnsi" w:eastAsia="Times New Roman" w:hAnsiTheme="majorHAnsi" w:cstheme="majorHAnsi"/>
          <w:i/>
          <w:iCs/>
          <w:color w:val="191919"/>
          <w:sz w:val="24"/>
          <w:szCs w:val="24"/>
        </w:rPr>
      </w:pPr>
      <w:r w:rsidRPr="00F75A3A">
        <w:rPr>
          <w:rFonts w:asciiTheme="majorHAnsi" w:eastAsia="Times New Roman" w:hAnsiTheme="majorHAnsi" w:cstheme="majorHAnsi"/>
          <w:i/>
          <w:iCs/>
          <w:color w:val="191919"/>
          <w:sz w:val="24"/>
          <w:szCs w:val="24"/>
        </w:rPr>
        <w:t>data are not thought to have a suitable repository</w:t>
      </w:r>
    </w:p>
    <w:p w14:paraId="2E475974" w14:textId="77777777" w:rsidR="00F75A3A" w:rsidRPr="00F75A3A" w:rsidRDefault="00F75A3A" w:rsidP="00F75A3A">
      <w:pPr>
        <w:shd w:val="clear" w:color="auto" w:fill="FFFFFF"/>
        <w:spacing w:after="300" w:line="240" w:lineRule="auto"/>
        <w:rPr>
          <w:rFonts w:asciiTheme="majorHAnsi" w:eastAsia="Times New Roman" w:hAnsiTheme="majorHAnsi" w:cstheme="majorHAnsi"/>
          <w:color w:val="191919"/>
          <w:sz w:val="24"/>
          <w:szCs w:val="24"/>
        </w:rPr>
      </w:pPr>
      <w:r w:rsidRPr="00F75A3A">
        <w:rPr>
          <w:rFonts w:asciiTheme="majorHAnsi" w:eastAsia="Times New Roman" w:hAnsiTheme="majorHAnsi" w:cstheme="majorHAnsi"/>
          <w:i/>
          <w:iCs/>
          <w:color w:val="191919"/>
          <w:sz w:val="24"/>
          <w:szCs w:val="24"/>
        </w:rPr>
        <w:t>NIH respects and recognizes Tribal sovereignty and American Indian and Alaska Native (AI/AN) communities’ data sharing concerns, and NIH</w:t>
      </w:r>
      <w:r w:rsidRPr="00F75A3A">
        <w:rPr>
          <w:rFonts w:asciiTheme="majorHAnsi" w:eastAsia="Times New Roman" w:hAnsiTheme="majorHAnsi" w:cstheme="majorHAnsi"/>
          <w:color w:val="191919"/>
          <w:sz w:val="24"/>
          <w:szCs w:val="24"/>
        </w:rPr>
        <w:t xml:space="preserve"> has proposed additional considerations when working with Tribes and AI/AN communities.</w:t>
      </w:r>
    </w:p>
    <w:p w14:paraId="0AC27C11" w14:textId="621E425C" w:rsidR="00F75A3A" w:rsidRDefault="00F75A3A" w:rsidP="00F27CD9">
      <w:pPr>
        <w:spacing w:after="0" w:line="240" w:lineRule="auto"/>
        <w:rPr>
          <w:rFonts w:cstheme="minorHAnsi"/>
          <w:bCs/>
        </w:rPr>
      </w:pPr>
    </w:p>
    <w:p w14:paraId="3DE4A760" w14:textId="07F5F38E" w:rsidR="00F75A3A" w:rsidRDefault="00F75A3A" w:rsidP="00F27CD9">
      <w:pPr>
        <w:spacing w:after="0" w:line="240" w:lineRule="auto"/>
        <w:rPr>
          <w:rFonts w:cstheme="minorHAnsi"/>
          <w:bCs/>
        </w:rPr>
      </w:pPr>
    </w:p>
    <w:p w14:paraId="018D54B9" w14:textId="1608C77D" w:rsidR="00F75A3A" w:rsidRPr="00F75A3A" w:rsidRDefault="00F75A3A" w:rsidP="00D70DE9">
      <w:pPr>
        <w:shd w:val="clear" w:color="auto" w:fill="D9E2F3" w:themeFill="accent1" w:themeFillTint="33"/>
        <w:spacing w:after="0" w:line="240" w:lineRule="auto"/>
        <w:rPr>
          <w:rFonts w:cstheme="minorHAnsi"/>
          <w:b/>
        </w:rPr>
      </w:pPr>
      <w:r w:rsidRPr="00F75A3A">
        <w:rPr>
          <w:rFonts w:cstheme="minorHAnsi"/>
          <w:b/>
        </w:rPr>
        <w:t xml:space="preserve">WVU </w:t>
      </w:r>
      <w:r w:rsidR="00D70DE9">
        <w:rPr>
          <w:rFonts w:cstheme="minorHAnsi"/>
          <w:b/>
        </w:rPr>
        <w:t xml:space="preserve">text </w:t>
      </w:r>
      <w:r w:rsidRPr="00F75A3A">
        <w:rPr>
          <w:rFonts w:cstheme="minorHAnsi"/>
          <w:b/>
        </w:rPr>
        <w:t>to add:</w:t>
      </w:r>
    </w:p>
    <w:p w14:paraId="7D21A491" w14:textId="77777777" w:rsidR="00F75A3A" w:rsidRDefault="00F75A3A">
      <w:pPr>
        <w:rPr>
          <w:rFonts w:cstheme="minorHAnsi"/>
          <w:bCs/>
        </w:rPr>
      </w:pPr>
      <w:r>
        <w:rPr>
          <w:rFonts w:cstheme="minorHAnsi"/>
          <w:bCs/>
        </w:rPr>
        <w:br w:type="page"/>
      </w:r>
    </w:p>
    <w:p w14:paraId="138076AD" w14:textId="25B07267" w:rsidR="00F75A3A" w:rsidRPr="00F75A3A" w:rsidRDefault="00F75A3A" w:rsidP="00FB6ECC">
      <w:pPr>
        <w:shd w:val="clear" w:color="auto" w:fill="D9D9D9" w:themeFill="background1" w:themeFillShade="D9"/>
        <w:spacing w:after="0" w:line="240" w:lineRule="auto"/>
        <w:rPr>
          <w:rFonts w:cstheme="minorHAnsi"/>
          <w:b/>
        </w:rPr>
      </w:pPr>
      <w:r w:rsidRPr="00F75A3A">
        <w:rPr>
          <w:rFonts w:cstheme="minorHAnsi"/>
          <w:b/>
        </w:rPr>
        <w:lastRenderedPageBreak/>
        <w:t>NIH DMS Template: Element 6 Oversight and Management of Data Management and Sharing</w:t>
      </w:r>
    </w:p>
    <w:p w14:paraId="10F6F347" w14:textId="77777777" w:rsidR="00F75A3A" w:rsidRDefault="00F75A3A" w:rsidP="00F27CD9">
      <w:pPr>
        <w:spacing w:after="0" w:line="240" w:lineRule="auto"/>
        <w:rPr>
          <w:rFonts w:cstheme="minorHAnsi"/>
          <w:bCs/>
        </w:rPr>
      </w:pPr>
    </w:p>
    <w:p w14:paraId="0B7C4103" w14:textId="0EB35600" w:rsidR="00F75A3A" w:rsidRDefault="00F75A3A" w:rsidP="00F27CD9">
      <w:pPr>
        <w:spacing w:after="0" w:line="240" w:lineRule="auto"/>
        <w:rPr>
          <w:rFonts w:cstheme="minorHAnsi"/>
          <w:bCs/>
        </w:rPr>
      </w:pPr>
      <w:r>
        <w:rPr>
          <w:rFonts w:cstheme="minorHAnsi"/>
          <w:bCs/>
        </w:rPr>
        <w:t>WVU standard text for management and oversight of DMS Plans:</w:t>
      </w:r>
    </w:p>
    <w:p w14:paraId="1F4EDDB1" w14:textId="0EAA0771" w:rsidR="00F75A3A" w:rsidRDefault="00F75A3A" w:rsidP="00F27CD9">
      <w:pPr>
        <w:spacing w:after="0" w:line="240" w:lineRule="auto"/>
        <w:rPr>
          <w:rFonts w:cstheme="minorHAnsi"/>
          <w:bCs/>
        </w:rPr>
      </w:pPr>
    </w:p>
    <w:p w14:paraId="5D87AC49" w14:textId="77777777" w:rsidR="00891235" w:rsidRPr="00243466" w:rsidRDefault="00891235" w:rsidP="00891235">
      <w:pPr>
        <w:rPr>
          <w:i/>
          <w:iCs/>
        </w:rPr>
      </w:pPr>
      <w:r w:rsidRPr="00243466">
        <w:rPr>
          <w:i/>
          <w:iCs/>
        </w:rPr>
        <w:t xml:space="preserve">Personnel costs required to perform the types of data management and sharing activities are allowable. Examples of costs may include time and effort for data curation processes; local specialized infrastructure (only those not covered by institutional F&amp;A costs); or fees for preserving and sharing data. Reasonable, allowable costs for management and sharing may be included in NIH budget requests. Funds for these activities must be spent during the performance period, even for scientific data and metadata preserved and shared beyond the award period. See NIH’s </w:t>
      </w:r>
      <w:hyperlink r:id="rId12">
        <w:r w:rsidRPr="00243466">
          <w:rPr>
            <w:i/>
            <w:iCs/>
            <w:color w:val="000080"/>
            <w:u w:val="single"/>
          </w:rPr>
          <w:t>supplementary guidance on allowable costs for data management and sharing</w:t>
        </w:r>
      </w:hyperlink>
      <w:r w:rsidRPr="00243466">
        <w:rPr>
          <w:i/>
          <w:iCs/>
        </w:rPr>
        <w:t>.</w:t>
      </w:r>
    </w:p>
    <w:p w14:paraId="6E8975B4" w14:textId="53C70081" w:rsidR="0059452B" w:rsidRPr="00243466" w:rsidRDefault="0059452B" w:rsidP="00D70DE9">
      <w:pPr>
        <w:shd w:val="clear" w:color="auto" w:fill="D9E2F3" w:themeFill="accent1" w:themeFillTint="33"/>
        <w:rPr>
          <w:b/>
          <w:bCs/>
        </w:rPr>
      </w:pPr>
      <w:r w:rsidRPr="00243466">
        <w:rPr>
          <w:b/>
          <w:bCs/>
        </w:rPr>
        <w:t>Project Level Oversight of D</w:t>
      </w:r>
      <w:r w:rsidR="00243466" w:rsidRPr="00243466">
        <w:rPr>
          <w:b/>
          <w:bCs/>
        </w:rPr>
        <w:t>MS Plan:</w:t>
      </w:r>
    </w:p>
    <w:p w14:paraId="38E95CFD" w14:textId="7AB0DFDF" w:rsidR="00891235" w:rsidRPr="00FB6ECC" w:rsidRDefault="00891235" w:rsidP="00891235">
      <w:pPr>
        <w:rPr>
          <w:i/>
          <w:iCs/>
        </w:rPr>
      </w:pPr>
      <w:r w:rsidRPr="00FB6ECC">
        <w:rPr>
          <w:i/>
          <w:iCs/>
        </w:rPr>
        <w:t>List the roles responsible for data capture, metadata production, data quality, storage and backup, data archiving, and data sharing. Include the name (if available), title, affiliation, and ORCIDs where possible. </w:t>
      </w:r>
    </w:p>
    <w:p w14:paraId="6BA12209" w14:textId="77777777" w:rsidR="00891235" w:rsidRPr="00FB6ECC" w:rsidRDefault="00891235" w:rsidP="00891235">
      <w:pPr>
        <w:rPr>
          <w:i/>
          <w:iCs/>
        </w:rPr>
      </w:pPr>
      <w:r w:rsidRPr="00FB6ECC">
        <w:rPr>
          <w:i/>
          <w:iCs/>
        </w:rPr>
        <w:t>If this is a collaborative project across institutions, explain how data management tasks will be addressed across partners.</w:t>
      </w:r>
    </w:p>
    <w:p w14:paraId="1FA3A217" w14:textId="77777777" w:rsidR="00891235" w:rsidRPr="00FB6ECC" w:rsidRDefault="00891235" w:rsidP="00891235">
      <w:pPr>
        <w:rPr>
          <w:i/>
          <w:iCs/>
        </w:rPr>
      </w:pPr>
      <w:r w:rsidRPr="00FB6ECC">
        <w:rPr>
          <w:i/>
          <w:iCs/>
        </w:rPr>
        <w:t>Identify which individual (or role) will be responsible for implementing, updating, and revising the DMSP.</w:t>
      </w:r>
    </w:p>
    <w:p w14:paraId="638E18B5" w14:textId="77777777" w:rsidR="00891235" w:rsidRPr="00FB6ECC" w:rsidRDefault="00891235" w:rsidP="00891235">
      <w:pPr>
        <w:rPr>
          <w:i/>
          <w:iCs/>
        </w:rPr>
      </w:pPr>
      <w:r w:rsidRPr="00FB6ECC">
        <w:rPr>
          <w:i/>
          <w:iCs/>
        </w:rPr>
        <w:t>Explain how the necessary resources (for example personnel time) to prepare the data for sharing/preservation have been budgeted.  Consider and justify any resources needed to adhere to the DMP. These may include curating data and developing documentation, infrastructure necessary to provide local management and preservation, and data deposit fees.</w:t>
      </w:r>
    </w:p>
    <w:p w14:paraId="626EFFCF" w14:textId="77777777" w:rsidR="00891235" w:rsidRDefault="00891235" w:rsidP="00891235">
      <w:r>
        <w:rPr>
          <w:i/>
        </w:rPr>
        <w:t>Example Answer</w:t>
      </w:r>
      <w:r>
        <w:t>:</w:t>
      </w:r>
    </w:p>
    <w:p w14:paraId="5758A614" w14:textId="77777777" w:rsidR="00891235" w:rsidRDefault="00891235" w:rsidP="00891235">
      <w:r>
        <w:t>The following individuals [or just the position titles if unknown] will be responsible for data collection, management, storage, retention, and dissemination of project data, including updating and revising the Data Management and Sharing Plan when necessary. </w:t>
      </w:r>
    </w:p>
    <w:p w14:paraId="7EE82D18" w14:textId="77777777" w:rsidR="00891235" w:rsidRDefault="00891235" w:rsidP="00891235">
      <w:pPr>
        <w:pStyle w:val="ListParagraph"/>
        <w:numPr>
          <w:ilvl w:val="0"/>
          <w:numId w:val="7"/>
        </w:numPr>
        <w:overflowPunct w:val="0"/>
        <w:autoSpaceDE w:val="0"/>
        <w:autoSpaceDN w:val="0"/>
        <w:adjustRightInd w:val="0"/>
        <w:spacing w:before="240" w:after="240" w:line="240" w:lineRule="auto"/>
        <w:contextualSpacing w:val="0"/>
      </w:pPr>
      <w:r>
        <w:t>Name, Position Title, Host Institution, ORCID, email</w:t>
      </w:r>
    </w:p>
    <w:p w14:paraId="2C16FE23" w14:textId="77777777" w:rsidR="00891235" w:rsidRDefault="00891235" w:rsidP="00891235"/>
    <w:p w14:paraId="2BEC297B" w14:textId="6B138812" w:rsidR="00891235" w:rsidRPr="00243466" w:rsidRDefault="00243466" w:rsidP="00D70DE9">
      <w:pPr>
        <w:shd w:val="clear" w:color="auto" w:fill="D9E2F3" w:themeFill="accent1" w:themeFillTint="33"/>
        <w:spacing w:after="0" w:line="240" w:lineRule="auto"/>
        <w:rPr>
          <w:rFonts w:cstheme="minorHAnsi"/>
          <w:b/>
        </w:rPr>
      </w:pPr>
      <w:r w:rsidRPr="00243466">
        <w:rPr>
          <w:rFonts w:cstheme="minorHAnsi"/>
          <w:b/>
        </w:rPr>
        <w:t>Institutional Level Oversight of DMS Plan(s):</w:t>
      </w:r>
    </w:p>
    <w:p w14:paraId="675813EC" w14:textId="626E0C97" w:rsidR="00243466" w:rsidRPr="00D70DE9" w:rsidRDefault="00D70DE9" w:rsidP="00F27CD9">
      <w:pPr>
        <w:spacing w:after="0" w:line="240" w:lineRule="auto"/>
        <w:rPr>
          <w:rFonts w:cstheme="minorHAnsi"/>
          <w:b/>
        </w:rPr>
      </w:pPr>
      <w:r>
        <w:rPr>
          <w:rFonts w:cstheme="minorHAnsi"/>
          <w:b/>
        </w:rPr>
        <w:t xml:space="preserve">WVU </w:t>
      </w:r>
      <w:r w:rsidRPr="00D70DE9">
        <w:rPr>
          <w:rFonts w:cstheme="minorHAnsi"/>
          <w:b/>
        </w:rPr>
        <w:t>Text to add:</w:t>
      </w:r>
    </w:p>
    <w:p w14:paraId="306A29F4" w14:textId="7BEF8C1A" w:rsidR="00080D1B" w:rsidRDefault="00080D1B" w:rsidP="00F27CD9">
      <w:pPr>
        <w:spacing w:after="0" w:line="240" w:lineRule="auto"/>
        <w:rPr>
          <w:rFonts w:cstheme="minorHAnsi"/>
          <w:bCs/>
        </w:rPr>
      </w:pPr>
      <w:r>
        <w:rPr>
          <w:rFonts w:cstheme="minorHAnsi"/>
          <w:bCs/>
        </w:rPr>
        <w:t xml:space="preserve">The West Virginia University Research Office has processes in place to </w:t>
      </w:r>
      <w:r w:rsidR="00A04060">
        <w:rPr>
          <w:rFonts w:cstheme="minorHAnsi"/>
          <w:bCs/>
        </w:rPr>
        <w:t xml:space="preserve">manage the development of DMS Plans and budgets and also to track and audit the data when it is in the preserved state.  The processes </w:t>
      </w:r>
      <w:r w:rsidR="00346FA0">
        <w:rPr>
          <w:rFonts w:cstheme="minorHAnsi"/>
          <w:bCs/>
        </w:rPr>
        <w:t xml:space="preserve">use research systems and workflows that </w:t>
      </w:r>
      <w:r w:rsidR="00FA050E">
        <w:rPr>
          <w:rFonts w:cstheme="minorHAnsi"/>
          <w:bCs/>
        </w:rPr>
        <w:t>involve</w:t>
      </w:r>
      <w:r w:rsidR="00346FA0">
        <w:rPr>
          <w:rFonts w:cstheme="minorHAnsi"/>
          <w:bCs/>
        </w:rPr>
        <w:t xml:space="preserve"> </w:t>
      </w:r>
      <w:r w:rsidR="000577C2">
        <w:rPr>
          <w:rFonts w:cstheme="minorHAnsi"/>
          <w:bCs/>
        </w:rPr>
        <w:t xml:space="preserve">Research Office Departments (Office </w:t>
      </w:r>
      <w:r w:rsidR="00FA050E">
        <w:rPr>
          <w:rFonts w:cstheme="minorHAnsi"/>
          <w:bCs/>
        </w:rPr>
        <w:t xml:space="preserve">of Sponsored Programs, </w:t>
      </w:r>
      <w:r w:rsidR="00B53A09">
        <w:rPr>
          <w:rFonts w:cstheme="minorHAnsi"/>
          <w:bCs/>
        </w:rPr>
        <w:t xml:space="preserve">Office of Operational Research Data Service, WV Clinical and </w:t>
      </w:r>
      <w:r w:rsidR="007D1AC1">
        <w:rPr>
          <w:rFonts w:cstheme="minorHAnsi"/>
          <w:bCs/>
        </w:rPr>
        <w:t>Translational</w:t>
      </w:r>
      <w:r w:rsidR="00B53A09">
        <w:rPr>
          <w:rFonts w:cstheme="minorHAnsi"/>
          <w:bCs/>
        </w:rPr>
        <w:t xml:space="preserve"> Science Institute, </w:t>
      </w:r>
      <w:r w:rsidR="007D1AC1">
        <w:rPr>
          <w:rFonts w:cstheme="minorHAnsi"/>
          <w:bCs/>
        </w:rPr>
        <w:t xml:space="preserve">Information Technology Services, WVU Libraries, and department/college pre-award support. </w:t>
      </w:r>
    </w:p>
    <w:p w14:paraId="2FDEB4E9" w14:textId="0DCF250A" w:rsidR="00D31A52" w:rsidRDefault="00D31A52" w:rsidP="00F27CD9">
      <w:pPr>
        <w:spacing w:after="0" w:line="240" w:lineRule="auto"/>
        <w:rPr>
          <w:rFonts w:cstheme="minorHAnsi"/>
          <w:bCs/>
        </w:rPr>
      </w:pPr>
    </w:p>
    <w:p w14:paraId="5ECCB4AB" w14:textId="2C057FB1" w:rsidR="00D31A52" w:rsidRDefault="00D31A52" w:rsidP="00F27CD9">
      <w:pPr>
        <w:spacing w:after="0" w:line="240" w:lineRule="auto"/>
        <w:rPr>
          <w:rFonts w:cstheme="minorHAnsi"/>
          <w:bCs/>
        </w:rPr>
      </w:pPr>
      <w:r>
        <w:rPr>
          <w:rFonts w:cstheme="minorHAnsi"/>
          <w:bCs/>
        </w:rPr>
        <w:t>Workflows will provide for institutional tracking of repositories containing research results</w:t>
      </w:r>
      <w:r w:rsidR="0030131B">
        <w:rPr>
          <w:rFonts w:cstheme="minorHAnsi"/>
          <w:bCs/>
        </w:rPr>
        <w:t xml:space="preserve"> and validation/audit of the repositories and data.</w:t>
      </w:r>
      <w:r w:rsidR="00AF55D8">
        <w:rPr>
          <w:rFonts w:cstheme="minorHAnsi"/>
          <w:bCs/>
        </w:rPr>
        <w:t xml:space="preserve"> The WVU Library will be the central location for research results data. </w:t>
      </w:r>
    </w:p>
    <w:sectPr w:rsidR="00D31A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52365"/>
    <w:multiLevelType w:val="hybridMultilevel"/>
    <w:tmpl w:val="789C82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A08C1"/>
    <w:multiLevelType w:val="hybridMultilevel"/>
    <w:tmpl w:val="74929A68"/>
    <w:lvl w:ilvl="0" w:tplc="08143C94">
      <w:start w:val="1"/>
      <w:numFmt w:val="bullet"/>
      <w:lvlText w:val="●"/>
      <w:lvlJc w:val="left"/>
      <w:pPr>
        <w:ind w:left="720" w:hanging="360"/>
      </w:pPr>
    </w:lvl>
    <w:lvl w:ilvl="1" w:tplc="7D36DEBC">
      <w:start w:val="1"/>
      <w:numFmt w:val="bullet"/>
      <w:lvlText w:val="●"/>
      <w:lvlJc w:val="left"/>
      <w:pPr>
        <w:ind w:left="1440" w:hanging="360"/>
      </w:pPr>
    </w:lvl>
    <w:lvl w:ilvl="2" w:tplc="53E290DE">
      <w:start w:val="1"/>
      <w:numFmt w:val="bullet"/>
      <w:lvlText w:val="●"/>
      <w:lvlJc w:val="left"/>
      <w:pPr>
        <w:ind w:left="2160" w:hanging="360"/>
      </w:pPr>
    </w:lvl>
    <w:lvl w:ilvl="3" w:tplc="3D5C74EE">
      <w:start w:val="1"/>
      <w:numFmt w:val="bullet"/>
      <w:lvlText w:val="●"/>
      <w:lvlJc w:val="left"/>
      <w:pPr>
        <w:ind w:left="2880" w:hanging="360"/>
      </w:pPr>
    </w:lvl>
    <w:lvl w:ilvl="4" w:tplc="37CA9B04">
      <w:start w:val="1"/>
      <w:numFmt w:val="bullet"/>
      <w:lvlText w:val="●"/>
      <w:lvlJc w:val="left"/>
      <w:pPr>
        <w:ind w:left="3600" w:hanging="360"/>
      </w:pPr>
    </w:lvl>
    <w:lvl w:ilvl="5" w:tplc="836ADCDA">
      <w:start w:val="1"/>
      <w:numFmt w:val="bullet"/>
      <w:lvlText w:val="●"/>
      <w:lvlJc w:val="left"/>
      <w:pPr>
        <w:ind w:left="4320" w:hanging="360"/>
      </w:pPr>
    </w:lvl>
    <w:lvl w:ilvl="6" w:tplc="499E819C">
      <w:numFmt w:val="decimal"/>
      <w:lvlText w:val=""/>
      <w:lvlJc w:val="left"/>
    </w:lvl>
    <w:lvl w:ilvl="7" w:tplc="A65CCA40">
      <w:numFmt w:val="decimal"/>
      <w:lvlText w:val=""/>
      <w:lvlJc w:val="left"/>
    </w:lvl>
    <w:lvl w:ilvl="8" w:tplc="84AEAADE">
      <w:numFmt w:val="decimal"/>
      <w:lvlText w:val=""/>
      <w:lvlJc w:val="left"/>
    </w:lvl>
  </w:abstractNum>
  <w:abstractNum w:abstractNumId="2" w15:restartNumberingAfterBreak="0">
    <w:nsid w:val="099A08C7"/>
    <w:multiLevelType w:val="hybridMultilevel"/>
    <w:tmpl w:val="0EFE9A90"/>
    <w:lvl w:ilvl="0" w:tplc="05F4CA6E">
      <w:start w:val="1"/>
      <w:numFmt w:val="bullet"/>
      <w:lvlText w:val="●"/>
      <w:lvlJc w:val="left"/>
      <w:pPr>
        <w:ind w:left="720" w:hanging="360"/>
      </w:pPr>
    </w:lvl>
    <w:lvl w:ilvl="1" w:tplc="81A8A12A">
      <w:start w:val="1"/>
      <w:numFmt w:val="bullet"/>
      <w:lvlText w:val="●"/>
      <w:lvlJc w:val="left"/>
      <w:pPr>
        <w:ind w:left="1440" w:hanging="360"/>
      </w:pPr>
    </w:lvl>
    <w:lvl w:ilvl="2" w:tplc="387A31FE">
      <w:start w:val="1"/>
      <w:numFmt w:val="bullet"/>
      <w:lvlText w:val="●"/>
      <w:lvlJc w:val="left"/>
      <w:pPr>
        <w:ind w:left="2160" w:hanging="360"/>
      </w:pPr>
    </w:lvl>
    <w:lvl w:ilvl="3" w:tplc="2676C964">
      <w:start w:val="1"/>
      <w:numFmt w:val="bullet"/>
      <w:lvlText w:val="●"/>
      <w:lvlJc w:val="left"/>
      <w:pPr>
        <w:ind w:left="2880" w:hanging="360"/>
      </w:pPr>
    </w:lvl>
    <w:lvl w:ilvl="4" w:tplc="B43ABA52">
      <w:start w:val="1"/>
      <w:numFmt w:val="bullet"/>
      <w:lvlText w:val="●"/>
      <w:lvlJc w:val="left"/>
      <w:pPr>
        <w:ind w:left="3600" w:hanging="360"/>
      </w:pPr>
    </w:lvl>
    <w:lvl w:ilvl="5" w:tplc="59DE3048">
      <w:start w:val="1"/>
      <w:numFmt w:val="bullet"/>
      <w:lvlText w:val="●"/>
      <w:lvlJc w:val="left"/>
      <w:pPr>
        <w:ind w:left="4320" w:hanging="360"/>
      </w:pPr>
    </w:lvl>
    <w:lvl w:ilvl="6" w:tplc="946C81A4">
      <w:numFmt w:val="decimal"/>
      <w:lvlText w:val=""/>
      <w:lvlJc w:val="left"/>
    </w:lvl>
    <w:lvl w:ilvl="7" w:tplc="0FB4E1CA">
      <w:numFmt w:val="decimal"/>
      <w:lvlText w:val=""/>
      <w:lvlJc w:val="left"/>
    </w:lvl>
    <w:lvl w:ilvl="8" w:tplc="BF6ABA02">
      <w:numFmt w:val="decimal"/>
      <w:lvlText w:val=""/>
      <w:lvlJc w:val="left"/>
    </w:lvl>
  </w:abstractNum>
  <w:abstractNum w:abstractNumId="3" w15:restartNumberingAfterBreak="0">
    <w:nsid w:val="126E3D5C"/>
    <w:multiLevelType w:val="hybridMultilevel"/>
    <w:tmpl w:val="8C1802D2"/>
    <w:lvl w:ilvl="0" w:tplc="513CBAE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7A1D30"/>
    <w:multiLevelType w:val="multilevel"/>
    <w:tmpl w:val="BF2C7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8D2F8E"/>
    <w:multiLevelType w:val="multilevel"/>
    <w:tmpl w:val="26BE8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C333C9"/>
    <w:multiLevelType w:val="hybridMultilevel"/>
    <w:tmpl w:val="B7C0E9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8683688">
    <w:abstractNumId w:val="3"/>
  </w:num>
  <w:num w:numId="2" w16cid:durableId="1732077153">
    <w:abstractNumId w:val="0"/>
  </w:num>
  <w:num w:numId="3" w16cid:durableId="1057121641">
    <w:abstractNumId w:val="6"/>
  </w:num>
  <w:num w:numId="4" w16cid:durableId="594674045">
    <w:abstractNumId w:val="5"/>
  </w:num>
  <w:num w:numId="5" w16cid:durableId="1103183020">
    <w:abstractNumId w:val="4"/>
  </w:num>
  <w:num w:numId="6" w16cid:durableId="870800486">
    <w:abstractNumId w:val="1"/>
  </w:num>
  <w:num w:numId="7" w16cid:durableId="18508700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80C"/>
    <w:rsid w:val="00015B31"/>
    <w:rsid w:val="00017E33"/>
    <w:rsid w:val="000273B2"/>
    <w:rsid w:val="00040CEC"/>
    <w:rsid w:val="000453AA"/>
    <w:rsid w:val="000577C2"/>
    <w:rsid w:val="00061698"/>
    <w:rsid w:val="000644EA"/>
    <w:rsid w:val="000752FF"/>
    <w:rsid w:val="00076B80"/>
    <w:rsid w:val="00080D1B"/>
    <w:rsid w:val="00082FFC"/>
    <w:rsid w:val="000C4DAA"/>
    <w:rsid w:val="000F48AA"/>
    <w:rsid w:val="00103B40"/>
    <w:rsid w:val="00117A7E"/>
    <w:rsid w:val="00120D3E"/>
    <w:rsid w:val="001233E0"/>
    <w:rsid w:val="001460B8"/>
    <w:rsid w:val="001547B4"/>
    <w:rsid w:val="00176A64"/>
    <w:rsid w:val="00187A09"/>
    <w:rsid w:val="001C5C5B"/>
    <w:rsid w:val="001D3362"/>
    <w:rsid w:val="001E4699"/>
    <w:rsid w:val="001E7B9C"/>
    <w:rsid w:val="001F2BBF"/>
    <w:rsid w:val="00236F32"/>
    <w:rsid w:val="0024008D"/>
    <w:rsid w:val="00243466"/>
    <w:rsid w:val="00257B30"/>
    <w:rsid w:val="00262D3E"/>
    <w:rsid w:val="002642D0"/>
    <w:rsid w:val="00280894"/>
    <w:rsid w:val="002C51E1"/>
    <w:rsid w:val="002D1C59"/>
    <w:rsid w:val="0030131B"/>
    <w:rsid w:val="00325B87"/>
    <w:rsid w:val="00346FA0"/>
    <w:rsid w:val="0034760D"/>
    <w:rsid w:val="0035740B"/>
    <w:rsid w:val="00372D26"/>
    <w:rsid w:val="00377094"/>
    <w:rsid w:val="0040080C"/>
    <w:rsid w:val="00410463"/>
    <w:rsid w:val="00435A55"/>
    <w:rsid w:val="00437CDB"/>
    <w:rsid w:val="0044436B"/>
    <w:rsid w:val="00456B6F"/>
    <w:rsid w:val="00473ACE"/>
    <w:rsid w:val="00485079"/>
    <w:rsid w:val="00485149"/>
    <w:rsid w:val="004A7C08"/>
    <w:rsid w:val="004C3B62"/>
    <w:rsid w:val="004C5972"/>
    <w:rsid w:val="004D5CA1"/>
    <w:rsid w:val="004E37CD"/>
    <w:rsid w:val="00505CE6"/>
    <w:rsid w:val="005144BF"/>
    <w:rsid w:val="0053191E"/>
    <w:rsid w:val="00532723"/>
    <w:rsid w:val="005361D5"/>
    <w:rsid w:val="00542BFF"/>
    <w:rsid w:val="00542FA5"/>
    <w:rsid w:val="005455A1"/>
    <w:rsid w:val="00566237"/>
    <w:rsid w:val="0059452B"/>
    <w:rsid w:val="005B753A"/>
    <w:rsid w:val="005D45A7"/>
    <w:rsid w:val="005E74E2"/>
    <w:rsid w:val="005F6AF8"/>
    <w:rsid w:val="00603868"/>
    <w:rsid w:val="00616F8B"/>
    <w:rsid w:val="00646B5B"/>
    <w:rsid w:val="00664193"/>
    <w:rsid w:val="0067280B"/>
    <w:rsid w:val="00693C63"/>
    <w:rsid w:val="006D1C1A"/>
    <w:rsid w:val="006D3BA0"/>
    <w:rsid w:val="006E432F"/>
    <w:rsid w:val="00745377"/>
    <w:rsid w:val="00751406"/>
    <w:rsid w:val="00760718"/>
    <w:rsid w:val="00774255"/>
    <w:rsid w:val="0079437D"/>
    <w:rsid w:val="00797099"/>
    <w:rsid w:val="007D1AC1"/>
    <w:rsid w:val="007D545C"/>
    <w:rsid w:val="007F19E4"/>
    <w:rsid w:val="00814D8A"/>
    <w:rsid w:val="00843237"/>
    <w:rsid w:val="00876717"/>
    <w:rsid w:val="00891235"/>
    <w:rsid w:val="00896FC9"/>
    <w:rsid w:val="008F1337"/>
    <w:rsid w:val="009071CB"/>
    <w:rsid w:val="00925932"/>
    <w:rsid w:val="00991404"/>
    <w:rsid w:val="009938FE"/>
    <w:rsid w:val="009945D3"/>
    <w:rsid w:val="00A04060"/>
    <w:rsid w:val="00A16CB4"/>
    <w:rsid w:val="00A746AA"/>
    <w:rsid w:val="00A74941"/>
    <w:rsid w:val="00A8576C"/>
    <w:rsid w:val="00A97DB5"/>
    <w:rsid w:val="00AC5C4C"/>
    <w:rsid w:val="00AC7F80"/>
    <w:rsid w:val="00AE41A3"/>
    <w:rsid w:val="00AE6D15"/>
    <w:rsid w:val="00AF55D8"/>
    <w:rsid w:val="00B01558"/>
    <w:rsid w:val="00B24B25"/>
    <w:rsid w:val="00B509A2"/>
    <w:rsid w:val="00B53557"/>
    <w:rsid w:val="00B53A09"/>
    <w:rsid w:val="00B8309D"/>
    <w:rsid w:val="00B843CA"/>
    <w:rsid w:val="00B86193"/>
    <w:rsid w:val="00BA1CB6"/>
    <w:rsid w:val="00BD03B8"/>
    <w:rsid w:val="00BD6403"/>
    <w:rsid w:val="00BE211A"/>
    <w:rsid w:val="00BE2DAD"/>
    <w:rsid w:val="00C26777"/>
    <w:rsid w:val="00C3583A"/>
    <w:rsid w:val="00C42EE3"/>
    <w:rsid w:val="00C53AE9"/>
    <w:rsid w:val="00CE79F2"/>
    <w:rsid w:val="00D24B10"/>
    <w:rsid w:val="00D31A52"/>
    <w:rsid w:val="00D37588"/>
    <w:rsid w:val="00D70DE9"/>
    <w:rsid w:val="00D918DD"/>
    <w:rsid w:val="00D91B60"/>
    <w:rsid w:val="00D952C5"/>
    <w:rsid w:val="00DA37B0"/>
    <w:rsid w:val="00DC0BB8"/>
    <w:rsid w:val="00DC1E4B"/>
    <w:rsid w:val="00DE382D"/>
    <w:rsid w:val="00E252E6"/>
    <w:rsid w:val="00E42CD4"/>
    <w:rsid w:val="00E4614C"/>
    <w:rsid w:val="00E522AC"/>
    <w:rsid w:val="00E52DA7"/>
    <w:rsid w:val="00E52EA8"/>
    <w:rsid w:val="00E75A91"/>
    <w:rsid w:val="00E83F7A"/>
    <w:rsid w:val="00E87021"/>
    <w:rsid w:val="00E97625"/>
    <w:rsid w:val="00EB1386"/>
    <w:rsid w:val="00EC438B"/>
    <w:rsid w:val="00EE4EDA"/>
    <w:rsid w:val="00F12FA2"/>
    <w:rsid w:val="00F14A41"/>
    <w:rsid w:val="00F21A8D"/>
    <w:rsid w:val="00F27CD9"/>
    <w:rsid w:val="00F33D51"/>
    <w:rsid w:val="00F60B83"/>
    <w:rsid w:val="00F67EBA"/>
    <w:rsid w:val="00F75A3A"/>
    <w:rsid w:val="00F97E58"/>
    <w:rsid w:val="00FA050E"/>
    <w:rsid w:val="00FB6ECC"/>
    <w:rsid w:val="00FE5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04F47"/>
  <w15:chartTrackingRefBased/>
  <w15:docId w15:val="{68590A27-626D-4582-B60A-CF5A287B2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C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CD9"/>
    <w:pPr>
      <w:ind w:left="720"/>
      <w:contextualSpacing/>
    </w:pPr>
  </w:style>
  <w:style w:type="character" w:styleId="Hyperlink">
    <w:name w:val="Hyperlink"/>
    <w:basedOn w:val="DefaultParagraphFont"/>
    <w:uiPriority w:val="99"/>
    <w:unhideWhenUsed/>
    <w:rsid w:val="002D1C59"/>
    <w:rPr>
      <w:color w:val="0000FF"/>
      <w:u w:val="single"/>
    </w:rPr>
  </w:style>
  <w:style w:type="character" w:styleId="CommentReference">
    <w:name w:val="annotation reference"/>
    <w:basedOn w:val="DefaultParagraphFont"/>
    <w:uiPriority w:val="99"/>
    <w:semiHidden/>
    <w:unhideWhenUsed/>
    <w:rsid w:val="00774255"/>
    <w:rPr>
      <w:sz w:val="16"/>
      <w:szCs w:val="16"/>
    </w:rPr>
  </w:style>
  <w:style w:type="paragraph" w:styleId="CommentText">
    <w:name w:val="annotation text"/>
    <w:basedOn w:val="Normal"/>
    <w:link w:val="CommentTextChar"/>
    <w:uiPriority w:val="99"/>
    <w:semiHidden/>
    <w:unhideWhenUsed/>
    <w:rsid w:val="00774255"/>
    <w:pPr>
      <w:spacing w:line="240" w:lineRule="auto"/>
    </w:pPr>
    <w:rPr>
      <w:sz w:val="20"/>
      <w:szCs w:val="20"/>
    </w:rPr>
  </w:style>
  <w:style w:type="character" w:customStyle="1" w:styleId="CommentTextChar">
    <w:name w:val="Comment Text Char"/>
    <w:basedOn w:val="DefaultParagraphFont"/>
    <w:link w:val="CommentText"/>
    <w:uiPriority w:val="99"/>
    <w:semiHidden/>
    <w:rsid w:val="00774255"/>
    <w:rPr>
      <w:sz w:val="20"/>
      <w:szCs w:val="20"/>
    </w:rPr>
  </w:style>
  <w:style w:type="paragraph" w:styleId="CommentSubject">
    <w:name w:val="annotation subject"/>
    <w:basedOn w:val="CommentText"/>
    <w:next w:val="CommentText"/>
    <w:link w:val="CommentSubjectChar"/>
    <w:uiPriority w:val="99"/>
    <w:semiHidden/>
    <w:unhideWhenUsed/>
    <w:rsid w:val="00774255"/>
    <w:rPr>
      <w:b/>
      <w:bCs/>
    </w:rPr>
  </w:style>
  <w:style w:type="character" w:customStyle="1" w:styleId="CommentSubjectChar">
    <w:name w:val="Comment Subject Char"/>
    <w:basedOn w:val="CommentTextChar"/>
    <w:link w:val="CommentSubject"/>
    <w:uiPriority w:val="99"/>
    <w:semiHidden/>
    <w:rsid w:val="00774255"/>
    <w:rPr>
      <w:b/>
      <w:bCs/>
      <w:sz w:val="20"/>
      <w:szCs w:val="20"/>
    </w:rPr>
  </w:style>
  <w:style w:type="paragraph" w:styleId="BalloonText">
    <w:name w:val="Balloon Text"/>
    <w:basedOn w:val="Normal"/>
    <w:link w:val="BalloonTextChar"/>
    <w:uiPriority w:val="99"/>
    <w:semiHidden/>
    <w:unhideWhenUsed/>
    <w:rsid w:val="007742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4255"/>
    <w:rPr>
      <w:rFonts w:ascii="Segoe UI" w:hAnsi="Segoe UI" w:cs="Segoe UI"/>
      <w:sz w:val="18"/>
      <w:szCs w:val="18"/>
    </w:rPr>
  </w:style>
  <w:style w:type="character" w:styleId="UnresolvedMention">
    <w:name w:val="Unresolved Mention"/>
    <w:basedOn w:val="DefaultParagraphFont"/>
    <w:uiPriority w:val="99"/>
    <w:semiHidden/>
    <w:unhideWhenUsed/>
    <w:rsid w:val="00D24B10"/>
    <w:rPr>
      <w:color w:val="605E5C"/>
      <w:shd w:val="clear" w:color="auto" w:fill="E1DFDD"/>
    </w:rPr>
  </w:style>
  <w:style w:type="character" w:styleId="FollowedHyperlink">
    <w:name w:val="FollowedHyperlink"/>
    <w:basedOn w:val="DefaultParagraphFont"/>
    <w:uiPriority w:val="99"/>
    <w:semiHidden/>
    <w:unhideWhenUsed/>
    <w:rsid w:val="00D24B10"/>
    <w:rPr>
      <w:color w:val="954F72" w:themeColor="followedHyperlink"/>
      <w:u w:val="single"/>
    </w:rPr>
  </w:style>
  <w:style w:type="paragraph" w:styleId="Revision">
    <w:name w:val="Revision"/>
    <w:hidden/>
    <w:uiPriority w:val="99"/>
    <w:semiHidden/>
    <w:rsid w:val="00F75A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27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rants.nih.gov/grants/guide/notice-files/NOT-OD-21-015.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rants.nih.gov/policy/humansubjects/coc.htm" TargetMode="External"/><Relationship Id="rId5" Type="http://schemas.openxmlformats.org/officeDocument/2006/relationships/numbering" Target="numbering.xml"/><Relationship Id="rId10" Type="http://schemas.openxmlformats.org/officeDocument/2006/relationships/hyperlink" Target="https://grants.nih.gov/grants/guide/notice-files/NOT-OD-21-014.html"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C21AE825FD90643B8DC4F15990C5D93" ma:contentTypeVersion="2" ma:contentTypeDescription="Create a new document." ma:contentTypeScope="" ma:versionID="0e2e5024fc217cce1caa114c73740b49">
  <xsd:schema xmlns:xsd="http://www.w3.org/2001/XMLSchema" xmlns:xs="http://www.w3.org/2001/XMLSchema" xmlns:p="http://schemas.microsoft.com/office/2006/metadata/properties" xmlns:ns2="36c104ce-feb3-408e-8c3c-c1af5a5e3b0a" targetNamespace="http://schemas.microsoft.com/office/2006/metadata/properties" ma:root="true" ma:fieldsID="3878f87f3e1f2f4370b77f83e964d512" ns2:_="">
    <xsd:import namespace="36c104ce-feb3-408e-8c3c-c1af5a5e3b0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104ce-feb3-408e-8c3c-c1af5a5e3b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B7DD1B-00BF-4147-BDAA-656166A42601}">
  <ds:schemaRefs>
    <ds:schemaRef ds:uri="http://schemas.openxmlformats.org/officeDocument/2006/bibliography"/>
  </ds:schemaRefs>
</ds:datastoreItem>
</file>

<file path=customXml/itemProps2.xml><?xml version="1.0" encoding="utf-8"?>
<ds:datastoreItem xmlns:ds="http://schemas.openxmlformats.org/officeDocument/2006/customXml" ds:itemID="{B07C797C-02EA-43FC-ADF0-CD383A127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c104ce-feb3-408e-8c3c-c1af5a5e3b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C645F8-B0F1-440E-826B-8AB17AF65713}">
  <ds:schemaRefs>
    <ds:schemaRef ds:uri="http://schemas.microsoft.com/sharepoint/v3/contenttype/forms"/>
  </ds:schemaRefs>
</ds:datastoreItem>
</file>

<file path=customXml/itemProps4.xml><?xml version="1.0" encoding="utf-8"?>
<ds:datastoreItem xmlns:ds="http://schemas.openxmlformats.org/officeDocument/2006/customXml" ds:itemID="{1552A8D4-3F03-41E3-85B2-E5C473FF7596}">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36c104ce-feb3-408e-8c3c-c1af5a5e3b0a"/>
    <ds:schemaRef ds:uri="http://purl.org/dc/term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790</Words>
  <Characters>4038</Characters>
  <Application>Microsoft Office Word</Application>
  <DocSecurity>0</DocSecurity>
  <Lines>367</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Bekirov, Iddil (NIH/NIMH) [C]</dc:creator>
  <cp:keywords/>
  <dc:description/>
  <cp:lastModifiedBy>Rosemary Casteel</cp:lastModifiedBy>
  <cp:revision>2</cp:revision>
  <dcterms:created xsi:type="dcterms:W3CDTF">2022-10-26T18:29:00Z</dcterms:created>
  <dcterms:modified xsi:type="dcterms:W3CDTF">2022-10-26T18:29:00Z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1e6700711d777771ba5e65fa875f9d7e9671b8573a7be26a7fdfd9020b22cf27</vt:lpwstr>
  </property>
  <property fmtid="{D5CDD505-2E9C-101B-9397-08002B2CF9AE}" pid="3" name="ContentTypeId">
    <vt:lpwstr>0x010100AC21AE825FD90643B8DC4F15990C5D93</vt:lpwstr>
  </property>
</Properties>
</file>